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40"/>
      </w:pPr>
      <w:r>
        <w:rPr>
          <w:rFonts w:ascii="Arial" w:hAnsi="Arial"/>
          <w:b/>
          <w:color w:val="2B2F38"/>
          <w:sz w:val="36"/>
        </w:rPr>
        <w:t>Registering Your Business: Action Plan</w:t>
      </w:r>
    </w:p>
    <w:p>
      <w:pPr>
        <w:spacing w:before="0" w:after="280"/>
      </w:pPr>
      <w:r>
        <w:rPr>
          <w:rFonts w:ascii="Arial" w:hAnsi="Arial"/>
          <w:color w:val="6B7280"/>
          <w:sz w:val="19"/>
        </w:rPr>
        <w:t>This worksheet is your step-by-step guide to formally registering your business in South Africa. Use it alongside the video guide to select your optimal CIPC registration channel and gather all statutory details beforehand.</w:t>
      </w:r>
    </w:p>
    <w:p>
      <w:pPr>
        <w:keepNext/>
        <w:spacing w:before="280" w:after="80"/>
      </w:pPr>
      <w:r>
        <w:rPr>
          <w:rFonts w:ascii="Arial" w:hAnsi="Arial"/>
          <w:b/>
          <w:color w:val="2B2F38"/>
          <w:sz w:val="23"/>
        </w:rPr>
        <w:t>1. The Building Blocks: Legal Entity Structure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one"/>
          <w:bottom w:val="none"/>
          <w:left w:val="single" w:sz="24" w:space="0" w:color="D4A243"/>
          <w:right w:val="none"/>
          <w:insideH w:val="none"/>
          <w:insideV w:val="none"/>
        </w:tblBorders>
      </w:tblPr>
      <w:tblGrid>
        <w:gridCol w:w="9605"/>
      </w:tblGrid>
      <w:tr>
        <w:tc>
          <w:tcPr>
            <w:tcW w:type="dxa" w:w="9605"/>
            <w:shd w:fill="F4F5F7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before="0" w:after="0"/>
            </w:pPr>
            <w:r>
              <w:rPr>
                <w:rFonts w:ascii="Arial" w:hAnsi="Arial"/>
                <w:b/>
                <w:color w:val="D4A243"/>
                <w:sz w:val="18"/>
              </w:rPr>
              <w:t xml:space="preserve">PROMPT: </w:t>
            </w:r>
            <w:r>
              <w:rPr>
                <w:rFonts w:ascii="Arial" w:hAnsi="Arial"/>
                <w:i/>
                <w:color w:val="2B2F38"/>
                <w:sz w:val="18"/>
              </w:rPr>
              <w:t>What legal structure have you chosen for your venture? Confirm your entity decision and understand why it sets the foundation for growth.</w:t>
            </w:r>
          </w:p>
        </w:tc>
      </w:tr>
    </w:tbl>
    <w:p>
      <w:pPr>
        <w:spacing w:before="0" w:after="80"/>
      </w:pP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1D5DB"/>
          <w:bottom w:val="single" w:sz="4" w:space="0" w:color="D1D5DB"/>
          <w:left w:val="single" w:sz="4" w:space="0" w:color="D1D5DB"/>
          <w:right w:val="single" w:sz="4" w:space="0" w:color="D1D5DB"/>
          <w:insideH w:val="none"/>
          <w:insideV w:val="none"/>
        </w:tblBorders>
      </w:tblPr>
      <w:tblGrid>
        <w:gridCol w:w="9605"/>
      </w:tblGrid>
      <w:tr>
        <w:tc>
          <w:tcPr>
            <w:tcW w:type="dxa" w:w="9605"/>
            <w:tcMar>
              <w:top w:w="100" w:type="dxa"/>
              <w:bottom w:w="100" w:type="dxa"/>
              <w:left w:w="120" w:type="dxa"/>
              <w:right w:w="120" w:type="dxa"/>
            </w:tcMar>
          </w:tcPr>
          <w:p>
            <w:r>
              <w:rPr>
                <w:rFonts w:ascii="Arial" w:hAnsi="Arial"/>
                <w:color w:val="6B7280"/>
                <w:sz w:val="19"/>
              </w:rPr>
              <w:t xml:space="preserve">Chosen Entity Type: </w:t>
            </w:r>
            <w:r>
              <w:rPr>
                <w:rFonts w:ascii="Arial" w:hAnsi="Arial"/>
                <w:b/>
                <w:color w:val="2B2F38"/>
                <w:sz w:val="20"/>
              </w:rPr>
              <w:t>Private Company — (Pty) Ltd</w:t>
              <w:br/>
              <w:br/>
            </w:r>
            <w:r>
              <w:rPr>
                <w:rFonts w:ascii="Arial" w:hAnsi="Arial"/>
                <w:b/>
                <w:color w:val="D4A243"/>
                <w:sz w:val="18"/>
              </w:rPr>
              <w:t>Core Strategic Benefits for Your Business:</w:t>
              <w:br/>
            </w:r>
          </w:p>
          <w:p>
            <w:pPr>
              <w:spacing w:before="40" w:after="40"/>
            </w:pPr>
            <w:r>
              <w:rPr>
                <w:rFonts w:ascii="Arial" w:hAnsi="Arial"/>
                <w:b/>
                <w:color w:val="2B2F38"/>
                <w:sz w:val="17"/>
              </w:rPr>
              <w:t xml:space="preserve">•  Limited Liability Protection: </w:t>
            </w:r>
            <w:r>
              <w:rPr>
                <w:rFonts w:ascii="Arial" w:hAnsi="Arial"/>
                <w:color w:val="6B7280"/>
                <w:sz w:val="17"/>
              </w:rPr>
              <w:t>Shields your personal assets (home, car, savings) from commercial debts, disputes, and business liabilities.</w:t>
            </w:r>
          </w:p>
          <w:p>
            <w:pPr>
              <w:spacing w:before="40" w:after="40"/>
            </w:pPr>
            <w:r>
              <w:rPr>
                <w:rFonts w:ascii="Arial" w:hAnsi="Arial"/>
                <w:b/>
                <w:color w:val="2B2F38"/>
                <w:sz w:val="17"/>
              </w:rPr>
              <w:t xml:space="preserve">•  Separate Legal Personality: </w:t>
            </w:r>
            <w:r>
              <w:rPr>
                <w:rFonts w:ascii="Arial" w:hAnsi="Arial"/>
                <w:color w:val="6B7280"/>
                <w:sz w:val="17"/>
              </w:rPr>
              <w:t>The company enters into contracts, incurs debt, and owns assets in its own legal name.</w:t>
            </w:r>
          </w:p>
          <w:p>
            <w:pPr>
              <w:spacing w:before="40" w:after="40"/>
            </w:pPr>
            <w:r>
              <w:rPr>
                <w:rFonts w:ascii="Arial" w:hAnsi="Arial"/>
                <w:b/>
                <w:color w:val="2B2F38"/>
                <w:sz w:val="17"/>
              </w:rPr>
              <w:t xml:space="preserve">•  Institutional Credibility: </w:t>
            </w:r>
            <w:r>
              <w:rPr>
                <w:rFonts w:ascii="Arial" w:hAnsi="Arial"/>
                <w:color w:val="6B7280"/>
                <w:sz w:val="17"/>
              </w:rPr>
              <w:t>Essential for landing corporate contracts, onboarding with enterprise suppliers, and qualifying for bank/investor funding.</w:t>
            </w:r>
          </w:p>
        </w:tc>
      </w:tr>
    </w:tbl>
    <w:p>
      <w:pPr>
        <w:spacing w:before="80" w:after="40"/>
      </w:pPr>
    </w:p>
    <w:p>
      <w:pPr>
        <w:keepNext/>
        <w:spacing w:before="280" w:after="80"/>
      </w:pPr>
      <w:r>
        <w:rPr>
          <w:rFonts w:ascii="Arial" w:hAnsi="Arial"/>
          <w:b/>
          <w:color w:val="2B2F38"/>
          <w:sz w:val="23"/>
        </w:rPr>
        <w:t>2. Choosing Your Registration Channel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one"/>
          <w:bottom w:val="none"/>
          <w:left w:val="single" w:sz="24" w:space="0" w:color="D4A243"/>
          <w:right w:val="none"/>
          <w:insideH w:val="none"/>
          <w:insideV w:val="none"/>
        </w:tblBorders>
      </w:tblPr>
      <w:tblGrid>
        <w:gridCol w:w="9605"/>
      </w:tblGrid>
      <w:tr>
        <w:tc>
          <w:tcPr>
            <w:tcW w:type="dxa" w:w="9605"/>
            <w:shd w:fill="F4F5F7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before="0" w:after="0"/>
            </w:pPr>
            <w:r>
              <w:rPr>
                <w:rFonts w:ascii="Arial" w:hAnsi="Arial"/>
                <w:b/>
                <w:color w:val="D4A243"/>
                <w:sz w:val="18"/>
              </w:rPr>
              <w:t xml:space="preserve">PROMPT: </w:t>
            </w:r>
            <w:r>
              <w:rPr>
                <w:rFonts w:ascii="Arial" w:hAnsi="Arial"/>
                <w:i/>
                <w:color w:val="2B2F38"/>
                <w:sz w:val="18"/>
              </w:rPr>
              <w:t>Compare the four standard ways to register a (Pty) Ltd in South Africa and select the channel that best matches your timeline, budget, and compliance needs.</w:t>
            </w:r>
          </w:p>
        </w:tc>
      </w:tr>
    </w:tbl>
    <w:p>
      <w:pPr>
        <w:spacing w:before="0"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1D5DB"/>
          <w:bottom w:val="single" w:sz="4" w:space="0" w:color="D1D5DB"/>
          <w:left w:val="none"/>
          <w:right w:val="none"/>
          <w:insideH w:val="single" w:sz="4" w:space="0" w:color="D1D5DB"/>
          <w:insideV w:val="none"/>
        </w:tblBorders>
      </w:tblPr>
      <w:tblGrid>
        <w:gridCol w:w="2592"/>
        <w:gridCol w:w="3168"/>
        <w:gridCol w:w="2693"/>
        <w:gridCol w:w="1152"/>
      </w:tblGrid>
      <w:tr>
        <w:tc>
          <w:tcPr>
            <w:tcW w:type="dxa" w:w="2401"/>
            <w:shd w:fill="E5E7E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color w:val="2B2F38"/>
                <w:sz w:val="18"/>
              </w:rPr>
              <w:t>Registration Method</w:t>
            </w:r>
          </w:p>
        </w:tc>
        <w:tc>
          <w:tcPr>
            <w:tcW w:type="dxa" w:w="2401"/>
            <w:shd w:fill="E5E7E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color w:val="2B2F38"/>
                <w:sz w:val="18"/>
              </w:rPr>
              <w:t>Key Advantages (Pros)</w:t>
            </w:r>
          </w:p>
        </w:tc>
        <w:tc>
          <w:tcPr>
            <w:tcW w:type="dxa" w:w="2401"/>
            <w:shd w:fill="E5E7E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color w:val="2B2F38"/>
                <w:sz w:val="18"/>
              </w:rPr>
              <w:t>Limitations (Cons)</w:t>
            </w:r>
          </w:p>
        </w:tc>
        <w:tc>
          <w:tcPr>
            <w:tcW w:type="dxa" w:w="2401"/>
            <w:shd w:fill="E5E7E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2B2F38"/>
                <w:sz w:val="18"/>
              </w:rPr>
              <w:t>Choice</w:t>
            </w:r>
          </w:p>
        </w:tc>
      </w:tr>
      <w:tr>
        <w:tc>
          <w:tcPr>
            <w:tcW w:type="dxa" w:w="2401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b/>
                <w:color w:val="2B2F38"/>
                <w:sz w:val="17"/>
              </w:rPr>
              <w:t>Method 1: CIPC eServices</w:t>
              <w:br/>
            </w:r>
            <w:r>
              <w:rPr>
                <w:rFonts w:ascii="Arial" w:hAnsi="Arial"/>
                <w:color w:val="D4A243"/>
                <w:sz w:val="15"/>
              </w:rPr>
              <w:t>Direct Official Portal</w:t>
            </w:r>
          </w:p>
        </w:tc>
        <w:tc>
          <w:tcPr>
            <w:tcW w:type="dxa" w:w="2401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color w:val="6B7280"/>
                <w:sz w:val="16"/>
              </w:rPr>
              <w:t>Standard official government route; lowest cost base directly through CIPC.</w:t>
            </w:r>
          </w:p>
        </w:tc>
        <w:tc>
          <w:tcPr>
            <w:tcW w:type="dxa" w:w="2401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color w:val="6B7280"/>
                <w:sz w:val="16"/>
              </w:rPr>
              <w:t>Manual document uploads; requires self-navigation of complex portal steps.</w:t>
            </w:r>
          </w:p>
        </w:tc>
        <w:tc>
          <w:tcPr>
            <w:tcW w:type="dxa" w:w="2401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2B2F38"/>
                <w:sz w:val="19"/>
              </w:rPr>
              <w:t>[   ]</w:t>
            </w:r>
          </w:p>
        </w:tc>
      </w:tr>
      <w:tr>
        <w:tc>
          <w:tcPr>
            <w:tcW w:type="dxa" w:w="2401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b/>
                <w:color w:val="2B2F38"/>
                <w:sz w:val="17"/>
              </w:rPr>
              <w:t>Method 2: BizPortal</w:t>
              <w:br/>
            </w:r>
            <w:r>
              <w:rPr>
                <w:rFonts w:ascii="Arial" w:hAnsi="Arial"/>
                <w:color w:val="D4A243"/>
                <w:sz w:val="15"/>
              </w:rPr>
              <w:t>Streamlined CIPC Hub</w:t>
            </w:r>
          </w:p>
        </w:tc>
        <w:tc>
          <w:tcPr>
            <w:tcW w:type="dxa" w:w="2401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color w:val="6B7280"/>
                <w:sz w:val="16"/>
              </w:rPr>
              <w:t>Integrated platform: CIPC company registration, SARS Income Tax number, UIF, and bank intent in one workflow.</w:t>
            </w:r>
          </w:p>
        </w:tc>
        <w:tc>
          <w:tcPr>
            <w:tcW w:type="dxa" w:w="2401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color w:val="6B7280"/>
                <w:sz w:val="16"/>
              </w:rPr>
              <w:t>Rigid standard MOI; less flexibility if you require custom share structures or complex directorships.</w:t>
            </w:r>
          </w:p>
        </w:tc>
        <w:tc>
          <w:tcPr>
            <w:tcW w:type="dxa" w:w="2401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2B2F38"/>
                <w:sz w:val="19"/>
              </w:rPr>
              <w:t>[   ]</w:t>
            </w:r>
          </w:p>
        </w:tc>
      </w:tr>
      <w:tr>
        <w:tc>
          <w:tcPr>
            <w:tcW w:type="dxa" w:w="2401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b/>
                <w:color w:val="2B2F38"/>
                <w:sz w:val="17"/>
              </w:rPr>
              <w:t>Method 3: Bank Partner</w:t>
              <w:br/>
            </w:r>
            <w:r>
              <w:rPr>
                <w:rFonts w:ascii="Arial" w:hAnsi="Arial"/>
                <w:color w:val="D4A243"/>
                <w:sz w:val="15"/>
              </w:rPr>
              <w:t>(e.g., FNB, Nedbank)</w:t>
            </w:r>
          </w:p>
        </w:tc>
        <w:tc>
          <w:tcPr>
            <w:tcW w:type="dxa" w:w="2401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color w:val="6B7280"/>
                <w:sz w:val="16"/>
              </w:rPr>
              <w:t>Combines company registration with rapid business bank account opening; streamlined verification.</w:t>
            </w:r>
          </w:p>
        </w:tc>
        <w:tc>
          <w:tcPr>
            <w:tcW w:type="dxa" w:w="2401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color w:val="6B7280"/>
                <w:sz w:val="16"/>
              </w:rPr>
              <w:t>Restricted to partner bank services; potential bundling delays if account opening hits compliance blocks.</w:t>
            </w:r>
          </w:p>
        </w:tc>
        <w:tc>
          <w:tcPr>
            <w:tcW w:type="dxa" w:w="2401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2B2F38"/>
                <w:sz w:val="19"/>
              </w:rPr>
              <w:t>[   ]</w:t>
            </w:r>
          </w:p>
        </w:tc>
      </w:tr>
      <w:tr>
        <w:tc>
          <w:tcPr>
            <w:tcW w:type="dxa" w:w="2401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b/>
                <w:color w:val="2B2F38"/>
                <w:sz w:val="17"/>
              </w:rPr>
              <w:t>Method 4: Professional Service</w:t>
              <w:br/>
            </w:r>
            <w:r>
              <w:rPr>
                <w:rFonts w:ascii="Arial" w:hAnsi="Arial"/>
                <w:color w:val="D4A243"/>
                <w:sz w:val="15"/>
              </w:rPr>
              <w:t>(e.g., SA Accounting / Reg)</w:t>
            </w:r>
          </w:p>
        </w:tc>
        <w:tc>
          <w:tcPr>
            <w:tcW w:type="dxa" w:w="2401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color w:val="6B7280"/>
                <w:sz w:val="16"/>
              </w:rPr>
              <w:t>Turnkey compliance: Full name reservation, COR14.3 certificate, share certificates, and statutory Beneficial Ownership filing.</w:t>
            </w:r>
          </w:p>
        </w:tc>
        <w:tc>
          <w:tcPr>
            <w:tcW w:type="dxa" w:w="2401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color w:val="6B7280"/>
                <w:sz w:val="16"/>
              </w:rPr>
              <w:t>Carries a professional service fee, though saves critical time and avoids costly filing rejections.</w:t>
            </w:r>
          </w:p>
        </w:tc>
        <w:tc>
          <w:tcPr>
            <w:tcW w:type="dxa" w:w="2401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2B2F38"/>
                <w:sz w:val="19"/>
              </w:rPr>
              <w:t>[   ]</w:t>
            </w:r>
          </w:p>
        </w:tc>
      </w:tr>
    </w:tbl>
    <w:p>
      <w:pPr>
        <w:spacing w:before="80" w:after="40"/>
      </w:pPr>
    </w:p>
    <w:p>
      <w:pPr>
        <w:keepNext/>
        <w:spacing w:before="280" w:after="80"/>
      </w:pPr>
      <w:r>
        <w:rPr>
          <w:rFonts w:ascii="Arial" w:hAnsi="Arial"/>
          <w:b/>
          <w:color w:val="2B2F38"/>
          <w:sz w:val="23"/>
        </w:rPr>
        <w:t>3. Statutory Information &amp; Detail Preparation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one"/>
          <w:bottom w:val="none"/>
          <w:left w:val="single" w:sz="24" w:space="0" w:color="D4A243"/>
          <w:right w:val="none"/>
          <w:insideH w:val="none"/>
          <w:insideV w:val="none"/>
        </w:tblBorders>
      </w:tblPr>
      <w:tblGrid>
        <w:gridCol w:w="9605"/>
      </w:tblGrid>
      <w:tr>
        <w:tc>
          <w:tcPr>
            <w:tcW w:type="dxa" w:w="9605"/>
            <w:shd w:fill="F4F5F7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before="0" w:after="0"/>
            </w:pPr>
            <w:r>
              <w:rPr>
                <w:rFonts w:ascii="Arial" w:hAnsi="Arial"/>
                <w:b/>
                <w:color w:val="D4A243"/>
                <w:sz w:val="18"/>
              </w:rPr>
              <w:t xml:space="preserve">PROMPT: </w:t>
            </w:r>
            <w:r>
              <w:rPr>
                <w:rFonts w:ascii="Arial" w:hAnsi="Arial"/>
                <w:i/>
                <w:color w:val="2B2F38"/>
                <w:sz w:val="18"/>
              </w:rPr>
              <w:t>Collect all required legal details before starting the filing process to prevent session timeouts or name reservation rejections.</w:t>
            </w:r>
          </w:p>
        </w:tc>
      </w:tr>
    </w:tbl>
    <w:p>
      <w:pPr>
        <w:spacing w:before="0"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1D5DB"/>
          <w:bottom w:val="single" w:sz="4" w:space="0" w:color="D1D5DB"/>
          <w:left w:val="none"/>
          <w:right w:val="none"/>
          <w:insideH w:val="single" w:sz="4" w:space="0" w:color="D1D5DB"/>
          <w:insideV w:val="none"/>
        </w:tblBorders>
      </w:tblPr>
      <w:tblGrid>
        <w:gridCol w:w="2592"/>
        <w:gridCol w:w="3168"/>
        <w:gridCol w:w="3845"/>
      </w:tblGrid>
      <w:tr>
        <w:tc>
          <w:tcPr>
            <w:tcW w:type="dxa" w:w="3202"/>
            <w:shd w:fill="E5E7E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b/>
                <w:color w:val="2B2F38"/>
                <w:sz w:val="18"/>
              </w:rPr>
              <w:t>Statutory Requirement</w:t>
            </w:r>
          </w:p>
        </w:tc>
        <w:tc>
          <w:tcPr>
            <w:tcW w:type="dxa" w:w="3202"/>
            <w:shd w:fill="E5E7E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b/>
                <w:color w:val="2B2F38"/>
                <w:sz w:val="18"/>
              </w:rPr>
              <w:t>Guidelines &amp; Legal Standards</w:t>
            </w:r>
          </w:p>
        </w:tc>
        <w:tc>
          <w:tcPr>
            <w:tcW w:type="dxa" w:w="3202"/>
            <w:shd w:fill="E5E7E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b/>
                <w:color w:val="2B2F38"/>
                <w:sz w:val="18"/>
              </w:rPr>
              <w:t>Your Documented Details</w:t>
            </w:r>
          </w:p>
        </w:tc>
      </w:tr>
      <w:tr>
        <w:tc>
          <w:tcPr>
            <w:tcW w:type="dxa" w:w="3202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b/>
                <w:color w:val="2B2F38"/>
                <w:sz w:val="17"/>
              </w:rPr>
              <w:t>Proposed Company Names</w:t>
              <w:br/>
            </w:r>
            <w:r>
              <w:rPr>
                <w:rFonts w:ascii="Arial" w:hAnsi="Arial"/>
                <w:color w:val="6B7280"/>
                <w:sz w:val="15"/>
              </w:rPr>
              <w:t>(Prepare 4 in priority)</w:t>
            </w:r>
          </w:p>
        </w:tc>
        <w:tc>
          <w:tcPr>
            <w:tcW w:type="dxa" w:w="3202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color w:val="6B7280"/>
                <w:sz w:val="16"/>
              </w:rPr>
              <w:t>Must not be identical or confusingly similar to existing registered trademarks or entities.</w:t>
            </w:r>
          </w:p>
        </w:tc>
        <w:tc>
          <w:tcPr>
            <w:tcW w:type="dxa" w:w="3202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color w:val="2B2F38"/>
                <w:sz w:val="16"/>
              </w:rPr>
              <w:t>1. __________________________________</w:t>
              <w:br/>
              <w:t>2. __________________________________</w:t>
              <w:br/>
              <w:t>3. __________________________________</w:t>
              <w:br/>
              <w:t>4. __________________________________</w:t>
            </w:r>
          </w:p>
        </w:tc>
      </w:tr>
      <w:tr>
        <w:tc>
          <w:tcPr>
            <w:tcW w:type="dxa" w:w="3202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b/>
                <w:color w:val="2B2F38"/>
                <w:sz w:val="17"/>
              </w:rPr>
              <w:t>Director Details</w:t>
              <w:br/>
            </w:r>
            <w:r>
              <w:rPr>
                <w:rFonts w:ascii="Arial" w:hAnsi="Arial"/>
                <w:color w:val="6B7280"/>
                <w:sz w:val="15"/>
              </w:rPr>
              <w:t>(At least 1 required)</w:t>
            </w:r>
          </w:p>
        </w:tc>
        <w:tc>
          <w:tcPr>
            <w:tcW w:type="dxa" w:w="3202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color w:val="6B7280"/>
                <w:sz w:val="16"/>
              </w:rPr>
              <w:t>Certified ID copies (valid within 3 months), residential address, cell, and email for each director.</w:t>
            </w:r>
          </w:p>
        </w:tc>
        <w:tc>
          <w:tcPr>
            <w:tcW w:type="dxa" w:w="3202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color w:val="2B2F38"/>
                <w:sz w:val="16"/>
              </w:rPr>
              <w:t>Director 1 Name: ____________________</w:t>
              <w:br/>
              <w:t>SA ID / Passport: ____________________</w:t>
              <w:br/>
              <w:t>Email: ______________________________</w:t>
              <w:br/>
              <w:t>Cell: _______________________________</w:t>
            </w:r>
          </w:p>
        </w:tc>
      </w:tr>
      <w:tr>
        <w:tc>
          <w:tcPr>
            <w:tcW w:type="dxa" w:w="3202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b/>
                <w:color w:val="2B2F38"/>
                <w:sz w:val="17"/>
              </w:rPr>
              <w:t>Registered Physical Address</w:t>
              <w:br/>
            </w:r>
            <w:r>
              <w:rPr>
                <w:rFonts w:ascii="Arial" w:hAnsi="Arial"/>
                <w:color w:val="6B7280"/>
                <w:sz w:val="15"/>
              </w:rPr>
              <w:t>(Head Office / Operations)</w:t>
            </w:r>
          </w:p>
        </w:tc>
        <w:tc>
          <w:tcPr>
            <w:tcW w:type="dxa" w:w="3202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color w:val="6B7280"/>
                <w:sz w:val="16"/>
              </w:rPr>
              <w:t>Physical street address where company records and formal notices are legally served (no P.O. Box).</w:t>
            </w:r>
          </w:p>
        </w:tc>
        <w:tc>
          <w:tcPr>
            <w:tcW w:type="dxa" w:w="3202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color w:val="2B2F38"/>
                <w:sz w:val="16"/>
              </w:rPr>
              <w:t>Street: _____________________________</w:t>
              <w:br/>
              <w:t>Suburb: _____________________________</w:t>
              <w:br/>
              <w:t>City: __________________ Code: _______</w:t>
            </w:r>
          </w:p>
        </w:tc>
      </w:tr>
      <w:tr>
        <w:tc>
          <w:tcPr>
            <w:tcW w:type="dxa" w:w="3202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b/>
                <w:color w:val="2B2F38"/>
                <w:sz w:val="17"/>
              </w:rPr>
              <w:t>Financial Year-End Month</w:t>
              <w:br/>
            </w:r>
          </w:p>
        </w:tc>
        <w:tc>
          <w:tcPr>
            <w:tcW w:type="dxa" w:w="3202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color w:val="6B7280"/>
                <w:sz w:val="16"/>
              </w:rPr>
              <w:t>Determines annual corporate tax filing cycle (e.g. February or last day of February).</w:t>
            </w:r>
          </w:p>
        </w:tc>
        <w:tc>
          <w:tcPr>
            <w:tcW w:type="dxa" w:w="3202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color w:val="2B2F38"/>
                <w:sz w:val="16"/>
              </w:rPr>
              <w:t>Target Month: [  ] February   [  ] Other: _____</w:t>
            </w:r>
          </w:p>
        </w:tc>
      </w:tr>
      <w:tr>
        <w:tc>
          <w:tcPr>
            <w:tcW w:type="dxa" w:w="3202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b/>
                <w:color w:val="2B2F38"/>
                <w:sz w:val="17"/>
              </w:rPr>
              <w:t>Mandatory Beneficial Ownership</w:t>
              <w:br/>
            </w:r>
            <w:r>
              <w:rPr>
                <w:rFonts w:ascii="Arial" w:hAnsi="Arial"/>
                <w:color w:val="6B7280"/>
                <w:sz w:val="15"/>
              </w:rPr>
              <w:t>(Companies Act Compliance)</w:t>
            </w:r>
          </w:p>
        </w:tc>
        <w:tc>
          <w:tcPr>
            <w:tcW w:type="dxa" w:w="3202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color w:val="6B7280"/>
                <w:sz w:val="16"/>
              </w:rPr>
              <w:t>Natural persons holding 5% or more effective equity or voting control must be submitted to CIPC register.</w:t>
            </w:r>
          </w:p>
        </w:tc>
        <w:tc>
          <w:tcPr>
            <w:tcW w:type="dxa" w:w="3202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color w:val="2B2F38"/>
                <w:sz w:val="16"/>
              </w:rPr>
              <w:t>Name(s) of 5%+ Owners:</w:t>
              <w:br/>
              <w:t>1. ________________________ ( ___ %)</w:t>
              <w:br/>
              <w:t>2. ________________________ ( ___ %)</w:t>
            </w:r>
          </w:p>
        </w:tc>
      </w:tr>
    </w:tbl>
    <w:p>
      <w:pPr>
        <w:spacing w:before="80" w:after="40"/>
      </w:pPr>
    </w:p>
    <w:p>
      <w:pPr>
        <w:keepNext/>
        <w:spacing w:before="280" w:after="80"/>
      </w:pPr>
      <w:r>
        <w:rPr>
          <w:rFonts w:ascii="Arial" w:hAnsi="Arial"/>
          <w:b/>
          <w:color w:val="2B2F38"/>
          <w:sz w:val="23"/>
        </w:rPr>
        <w:t>4. Execution Roadmap: 4-Step Registration Action Plan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one"/>
          <w:bottom w:val="none"/>
          <w:left w:val="single" w:sz="24" w:space="0" w:color="D4A243"/>
          <w:right w:val="none"/>
          <w:insideH w:val="none"/>
          <w:insideV w:val="none"/>
        </w:tblBorders>
      </w:tblPr>
      <w:tblGrid>
        <w:gridCol w:w="9605"/>
      </w:tblGrid>
      <w:tr>
        <w:tc>
          <w:tcPr>
            <w:tcW w:type="dxa" w:w="9605"/>
            <w:shd w:fill="F4F5F7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before="0" w:after="0"/>
            </w:pPr>
            <w:r>
              <w:rPr>
                <w:rFonts w:ascii="Arial" w:hAnsi="Arial"/>
                <w:b/>
                <w:color w:val="D4A243"/>
                <w:sz w:val="18"/>
              </w:rPr>
              <w:t xml:space="preserve">PROMPT: </w:t>
            </w:r>
            <w:r>
              <w:rPr>
                <w:rFonts w:ascii="Arial" w:hAnsi="Arial"/>
                <w:i/>
                <w:color w:val="2B2F38"/>
                <w:sz w:val="18"/>
              </w:rPr>
              <w:t>Follow these sequential steps to establish your formal company structure and initiate trading operations.</w:t>
            </w:r>
          </w:p>
        </w:tc>
      </w:tr>
    </w:tbl>
    <w:p>
      <w:pPr>
        <w:spacing w:before="0"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D1D5DB"/>
          <w:bottom w:val="single" w:sz="4" w:space="0" w:color="D1D5DB"/>
          <w:left w:val="none"/>
          <w:right w:val="none"/>
          <w:insideH w:val="single" w:sz="4" w:space="0" w:color="D1D5DB"/>
          <w:insideV w:val="none"/>
        </w:tblBorders>
      </w:tblPr>
      <w:tblGrid>
        <w:gridCol w:w="864"/>
        <w:gridCol w:w="2592"/>
        <w:gridCol w:w="4709"/>
        <w:gridCol w:w="1440"/>
      </w:tblGrid>
      <w:tr>
        <w:tc>
          <w:tcPr>
            <w:tcW w:type="dxa" w:w="2401"/>
            <w:shd w:fill="E5E7E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2B2F38"/>
                <w:sz w:val="18"/>
              </w:rPr>
              <w:t>Step</w:t>
            </w:r>
          </w:p>
        </w:tc>
        <w:tc>
          <w:tcPr>
            <w:tcW w:type="dxa" w:w="2401"/>
            <w:shd w:fill="E5E7E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color w:val="2B2F38"/>
                <w:sz w:val="18"/>
              </w:rPr>
              <w:t>Milestone Phase</w:t>
            </w:r>
          </w:p>
        </w:tc>
        <w:tc>
          <w:tcPr>
            <w:tcW w:type="dxa" w:w="2401"/>
            <w:shd w:fill="E5E7E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color w:val="2B2F38"/>
                <w:sz w:val="18"/>
              </w:rPr>
              <w:t>Operational Task &amp; Key Deliverable</w:t>
            </w:r>
          </w:p>
        </w:tc>
        <w:tc>
          <w:tcPr>
            <w:tcW w:type="dxa" w:w="2401"/>
            <w:shd w:fill="E5E7EB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2B2F38"/>
                <w:sz w:val="18"/>
              </w:rPr>
              <w:t>Status</w:t>
            </w:r>
          </w:p>
        </w:tc>
      </w:tr>
      <w:tr>
        <w:tc>
          <w:tcPr>
            <w:tcW w:type="dxa" w:w="2401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D4A243"/>
                <w:sz w:val="18"/>
              </w:rPr>
              <w:t>01</w:t>
            </w:r>
          </w:p>
        </w:tc>
        <w:tc>
          <w:tcPr>
            <w:tcW w:type="dxa" w:w="2401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b/>
                <w:color w:val="2B2F38"/>
                <w:sz w:val="17"/>
              </w:rPr>
              <w:t>Select Preferred Channel</w:t>
            </w:r>
          </w:p>
        </w:tc>
        <w:tc>
          <w:tcPr>
            <w:tcW w:type="dxa" w:w="2401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color w:val="6B7280"/>
                <w:sz w:val="16"/>
              </w:rPr>
              <w:t>Decide between CIPC direct, BizPortal, your banking partner, or appointing a professional practice.</w:t>
            </w:r>
          </w:p>
        </w:tc>
        <w:tc>
          <w:tcPr>
            <w:tcW w:type="dxa" w:w="2401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color w:val="2B2F38"/>
                <w:sz w:val="16"/>
              </w:rPr>
              <w:t>[  ] Complete</w:t>
            </w:r>
          </w:p>
        </w:tc>
      </w:tr>
      <w:tr>
        <w:tc>
          <w:tcPr>
            <w:tcW w:type="dxa" w:w="2401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D4A243"/>
                <w:sz w:val="18"/>
              </w:rPr>
              <w:t>02</w:t>
            </w:r>
          </w:p>
        </w:tc>
        <w:tc>
          <w:tcPr>
            <w:tcW w:type="dxa" w:w="2401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b/>
                <w:color w:val="2B2F38"/>
                <w:sz w:val="17"/>
              </w:rPr>
              <w:t>Gather Compliance Pack</w:t>
            </w:r>
          </w:p>
        </w:tc>
        <w:tc>
          <w:tcPr>
            <w:tcW w:type="dxa" w:w="2401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color w:val="6B7280"/>
                <w:sz w:val="16"/>
              </w:rPr>
              <w:t>Compile certified director IDs, verify registered business address, draft share allotments, and identify beneficial owners.</w:t>
            </w:r>
          </w:p>
        </w:tc>
        <w:tc>
          <w:tcPr>
            <w:tcW w:type="dxa" w:w="2401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color w:val="2B2F38"/>
                <w:sz w:val="16"/>
              </w:rPr>
              <w:t>[  ] In Progress</w:t>
            </w:r>
          </w:p>
        </w:tc>
      </w:tr>
      <w:tr>
        <w:tc>
          <w:tcPr>
            <w:tcW w:type="dxa" w:w="2401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D4A243"/>
                <w:sz w:val="18"/>
              </w:rPr>
              <w:t>03</w:t>
            </w:r>
          </w:p>
        </w:tc>
        <w:tc>
          <w:tcPr>
            <w:tcW w:type="dxa" w:w="2401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b/>
                <w:color w:val="2B2F38"/>
                <w:sz w:val="17"/>
              </w:rPr>
              <w:t>Submit Registration &amp; Pay</w:t>
            </w:r>
          </w:p>
        </w:tc>
        <w:tc>
          <w:tcPr>
            <w:tcW w:type="dxa" w:w="2401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color w:val="6B7280"/>
                <w:sz w:val="16"/>
              </w:rPr>
              <w:t>File official name reservation, lodge COR14.3 incorporating documents, and satisfy statutory filing fees.</w:t>
            </w:r>
          </w:p>
        </w:tc>
        <w:tc>
          <w:tcPr>
            <w:tcW w:type="dxa" w:w="2401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color w:val="2B2F38"/>
                <w:sz w:val="16"/>
              </w:rPr>
              <w:t>[  ] Pending</w:t>
            </w:r>
          </w:p>
        </w:tc>
      </w:tr>
      <w:tr>
        <w:tc>
          <w:tcPr>
            <w:tcW w:type="dxa" w:w="2401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color w:val="D4A243"/>
                <w:sz w:val="18"/>
              </w:rPr>
              <w:t>04</w:t>
            </w:r>
          </w:p>
        </w:tc>
        <w:tc>
          <w:tcPr>
            <w:tcW w:type="dxa" w:w="2401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b/>
                <w:color w:val="2B2F38"/>
                <w:sz w:val="17"/>
              </w:rPr>
              <w:t>Open Commercial Bank Account</w:t>
            </w:r>
          </w:p>
        </w:tc>
        <w:tc>
          <w:tcPr>
            <w:tcW w:type="dxa" w:w="2401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r>
              <w:rPr>
                <w:rFonts w:ascii="Arial" w:hAnsi="Arial"/>
                <w:color w:val="6B7280"/>
                <w:sz w:val="16"/>
              </w:rPr>
              <w:t>Take issued COR14.3 certificate, tax number, and director FICA to activate a dedicated business account.</w:t>
            </w:r>
          </w:p>
        </w:tc>
        <w:tc>
          <w:tcPr>
            <w:tcW w:type="dxa" w:w="2401"/>
            <w:tcMar>
              <w:top w:w="100" w:type="dxa"/>
              <w:bottom w:w="100" w:type="dxa"/>
              <w:left w:w="100" w:type="dxa"/>
              <w:right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color w:val="2B2F38"/>
                <w:sz w:val="16"/>
              </w:rPr>
              <w:t>[  ] Upcoming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9" w:h="16834"/>
      <w:pgMar w:top="1152" w:right="1152" w:bottom="1152" w:left="1152" w:header="576" w:footer="5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single" w:sz="6" w:space="0" w:color="E5E7EB"/>
      </w:tblBorders>
    </w:tblPr>
    <w:tblGrid>
      <w:gridCol w:w="6912"/>
      <w:gridCol w:w="2693"/>
    </w:tblGrid>
    <w:tr>
      <w:tc>
        <w:tcPr>
          <w:tcW w:type="dxa" w:w="4802"/>
        </w:tcPr>
        <w:p>
          <w:pPr>
            <w:spacing w:before="80" w:after="0"/>
          </w:pPr>
          <w:r>
            <w:rPr>
              <w:rFonts w:ascii="Arial" w:hAnsi="Arial"/>
              <w:color w:val="6B7280"/>
              <w:sz w:val="16"/>
            </w:rPr>
            <w:t xml:space="preserve">Need business advice? Visit </w:t>
          </w:r>
          <w:r>
            <w:rPr>
              <w:rFonts w:ascii="Arial" w:hAnsi="Arial"/>
              <w:b/>
              <w:color w:val="2B2F38"/>
              <w:sz w:val="16"/>
            </w:rPr>
            <w:t>saaccountingsolutions.co.za</w:t>
            <w:br/>
          </w:r>
          <w:r>
            <w:rPr>
              <w:rFonts w:ascii="Arial" w:hAnsi="Arial"/>
              <w:color w:val="6B7280"/>
              <w:sz w:val="15"/>
            </w:rPr>
            <w:t>© SA Accounting Network • All rights reserved</w:t>
          </w:r>
        </w:p>
      </w:tc>
      <w:tc>
        <w:tcPr>
          <w:tcW w:type="dxa" w:w="4802"/>
        </w:tcPr>
        <w:p>
          <w:pPr>
            <w:spacing w:before="80" w:after="0"/>
            <w:jc w:val="right"/>
          </w:pPr>
          <w:r>
            <w:rPr>
              <w:rFonts w:ascii="Arial" w:hAnsi="Arial"/>
              <w:color w:val="6B7280"/>
              <w:sz w:val="16"/>
            </w:rPr>
            <w:t>Business Mentoring Guide</w:t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bottom w:val="single" w:sz="12" w:space="0" w:color="D4A243"/>
      </w:tblBorders>
    </w:tblPr>
    <w:tblGrid>
      <w:gridCol w:w="6480"/>
      <w:gridCol w:w="3125"/>
    </w:tblGrid>
    <w:tr>
      <w:tc>
        <w:tcPr>
          <w:tcW w:type="dxa" w:w="4802"/>
        </w:tcPr>
        <w:p>
          <w:pPr>
            <w:spacing w:before="0" w:after="40"/>
          </w:pPr>
          <w:r>
            <w:rPr>
              <w:rFonts w:ascii="Arial" w:hAnsi="Arial"/>
              <w:b/>
              <w:color w:val="2B2F38"/>
              <w:sz w:val="19"/>
            </w:rPr>
            <w:t>SA ACCOUNTING NETWORK</w:t>
            <w:br/>
          </w:r>
          <w:r>
            <w:rPr>
              <w:rFonts w:ascii="Arial" w:hAnsi="Arial"/>
              <w:color w:val="6B7280"/>
              <w:sz w:val="17"/>
            </w:rPr>
            <w:t>Free Business Mentoring Program</w:t>
          </w:r>
        </w:p>
      </w:tc>
      <w:tc>
        <w:tcPr>
          <w:tcW w:type="dxa" w:w="4802"/>
        </w:tcPr>
        <w:p>
          <w:pPr>
            <w:spacing w:before="0" w:after="40"/>
            <w:jc w:val="right"/>
          </w:pPr>
          <w:r>
            <w:rPr>
              <w:rFonts w:ascii="Arial" w:hAnsi="Arial"/>
              <w:b/>
              <w:color w:val="D4A243"/>
              <w:sz w:val="17"/>
            </w:rPr>
            <w:t>LEGAL &amp; COMPLIANCE</w:t>
            <w:br/>
          </w:r>
          <w:r>
            <w:rPr>
              <w:rFonts w:ascii="Arial" w:hAnsi="Arial"/>
              <w:b/>
              <w:color w:val="2B2F38"/>
              <w:sz w:val="18"/>
            </w:rPr>
            <w:t>WORKSHEET 2.2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